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86996" w:rsidRPr="00A86996" w:rsidTr="00281141">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A86996" w:rsidRPr="00A86996" w:rsidRDefault="0031174C" w:rsidP="00281141">
            <w:pPr>
              <w:spacing w:before="120" w:after="120" w:line="228" w:lineRule="auto"/>
              <w:jc w:val="center"/>
              <w:rPr>
                <w:rFonts w:ascii="Calibri" w:hAnsi="Calibri" w:cs="Arial"/>
                <w:color w:val="FFFFFF"/>
                <w:sz w:val="22"/>
                <w:szCs w:val="26"/>
              </w:rPr>
            </w:pPr>
            <w:r>
              <w:rPr>
                <w:rFonts w:ascii="Calibri" w:hAnsi="Calibri"/>
                <w:noProof/>
                <w:sz w:val="22"/>
                <w:szCs w:val="22"/>
                <w:lang w:val="en-US" w:eastAsia="en-US"/>
              </w:rPr>
              <w:drawing>
                <wp:anchor distT="0" distB="0" distL="114300" distR="114300" simplePos="0" relativeHeight="251660288"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A86996" w:rsidRPr="00A86996">
              <w:rPr>
                <w:rFonts w:ascii="Calibri" w:hAnsi="Calibri" w:cs="Arial"/>
                <w:color w:val="FFFFFF"/>
                <w:sz w:val="22"/>
                <w:szCs w:val="26"/>
              </w:rPr>
              <w:t>Niagara Catholic District School Board</w:t>
            </w:r>
          </w:p>
          <w:p w:rsidR="00490C57" w:rsidRPr="00A86996" w:rsidRDefault="00490C57" w:rsidP="00490C57">
            <w:pPr>
              <w:spacing w:before="120" w:line="228" w:lineRule="auto"/>
              <w:jc w:val="center"/>
              <w:rPr>
                <w:rFonts w:ascii="Calibri" w:hAnsi="Calibri"/>
                <w:color w:val="FFFFFF"/>
              </w:rPr>
            </w:pPr>
            <w:r w:rsidRPr="00A86996">
              <w:rPr>
                <w:rFonts w:ascii="Calibri" w:hAnsi="Calibri" w:cs="Arial"/>
                <w:b/>
                <w:i/>
                <w:color w:val="FFFFFF"/>
                <w:sz w:val="28"/>
                <w:szCs w:val="28"/>
              </w:rPr>
              <w:t>A</w:t>
            </w:r>
            <w:r>
              <w:rPr>
                <w:rFonts w:ascii="Calibri" w:hAnsi="Calibri" w:cs="Arial"/>
                <w:b/>
                <w:i/>
                <w:color w:val="FFFFFF"/>
                <w:sz w:val="28"/>
                <w:szCs w:val="28"/>
              </w:rPr>
              <w:t>TTENDANCE AREA POLICY</w:t>
            </w:r>
          </w:p>
          <w:p w:rsidR="00A86996" w:rsidRPr="00A86996" w:rsidRDefault="00FD5685" w:rsidP="00281141">
            <w:pPr>
              <w:spacing w:before="120" w:after="120" w:line="228" w:lineRule="auto"/>
              <w:jc w:val="center"/>
              <w:rPr>
                <w:rFonts w:ascii="Calibri" w:hAnsi="Calibri"/>
                <w:color w:val="FFFFFF"/>
              </w:rPr>
            </w:pPr>
            <w:r>
              <w:rPr>
                <w:rFonts w:ascii="Calibri" w:hAnsi="Calibri"/>
                <w:color w:val="FFFFFF"/>
                <w:sz w:val="22"/>
              </w:rPr>
              <w:t>ADMINISTRATIVE OPERATIONAL PROCEDURES</w:t>
            </w:r>
          </w:p>
        </w:tc>
      </w:tr>
      <w:tr w:rsidR="00A86996" w:rsidRPr="00EE0F31" w:rsidTr="00281141">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A86996" w:rsidRPr="00EE0F31" w:rsidRDefault="00A86996" w:rsidP="00281141">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A86996" w:rsidRPr="00EE0F31" w:rsidRDefault="00A86996" w:rsidP="00281141">
            <w:pPr>
              <w:spacing w:line="228" w:lineRule="auto"/>
              <w:jc w:val="right"/>
              <w:rPr>
                <w:rFonts w:ascii="Calibri" w:hAnsi="Calibri"/>
                <w:b/>
                <w:noProof/>
                <w:color w:val="FFFFFF"/>
                <w:sz w:val="18"/>
              </w:rPr>
            </w:pPr>
            <w:r w:rsidRPr="00EE0F31">
              <w:rPr>
                <w:rFonts w:ascii="Calibri" w:hAnsi="Calibri"/>
                <w:b/>
                <w:color w:val="FFFFFF"/>
                <w:sz w:val="18"/>
                <w:szCs w:val="18"/>
              </w:rPr>
              <w:t>Policy No 30</w:t>
            </w:r>
            <w:r>
              <w:rPr>
                <w:rFonts w:ascii="Calibri" w:hAnsi="Calibri"/>
                <w:b/>
                <w:color w:val="FFFFFF"/>
                <w:sz w:val="18"/>
                <w:szCs w:val="18"/>
              </w:rPr>
              <w:t>1.3</w:t>
            </w:r>
          </w:p>
        </w:tc>
      </w:tr>
      <w:tr w:rsidR="00A86996" w:rsidRPr="00EE0F31" w:rsidTr="00281141">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86996" w:rsidRPr="00EE0F31" w:rsidRDefault="00A86996" w:rsidP="00281141">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A86996" w:rsidRPr="00EE0F31" w:rsidRDefault="00A86996" w:rsidP="00281141">
            <w:pPr>
              <w:spacing w:line="228" w:lineRule="auto"/>
              <w:jc w:val="right"/>
              <w:rPr>
                <w:rFonts w:ascii="Calibri" w:hAnsi="Calibri"/>
                <w:b/>
                <w:color w:val="FFFFFF"/>
                <w:sz w:val="16"/>
                <w:szCs w:val="18"/>
              </w:rPr>
            </w:pPr>
          </w:p>
        </w:tc>
      </w:tr>
      <w:tr w:rsidR="00A86996" w:rsidRPr="00EE0F31" w:rsidTr="00281141">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A86996" w:rsidRPr="00FF7225" w:rsidRDefault="00A86996" w:rsidP="00281141">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June23, 1998</w:t>
            </w:r>
            <w:r w:rsidRPr="00EE0F31">
              <w:rPr>
                <w:rFonts w:ascii="Gill Sans MT" w:hAnsi="Gill Sans MT"/>
                <w:color w:val="000000"/>
                <w:sz w:val="18"/>
                <w:szCs w:val="18"/>
              </w:rPr>
              <w:t xml:space="preserve"> </w:t>
            </w:r>
          </w:p>
          <w:p w:rsidR="00A86996" w:rsidRPr="00EE0F31" w:rsidRDefault="00A86996" w:rsidP="00281141">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A86996" w:rsidRPr="00EE0F31" w:rsidRDefault="00A86996" w:rsidP="00281141">
            <w:pPr>
              <w:spacing w:line="228" w:lineRule="auto"/>
              <w:jc w:val="right"/>
              <w:rPr>
                <w:rFonts w:ascii="Calibri" w:hAnsi="Calibri"/>
                <w:sz w:val="16"/>
                <w:szCs w:val="18"/>
              </w:rPr>
            </w:pPr>
            <w:r w:rsidRPr="00EE0F31">
              <w:rPr>
                <w:rFonts w:ascii="Calibri" w:hAnsi="Calibri"/>
                <w:sz w:val="16"/>
                <w:szCs w:val="18"/>
              </w:rPr>
              <w:t xml:space="preserve">Latest Reviewed/Revised Date: </w:t>
            </w:r>
            <w:r w:rsidR="00E70D85">
              <w:rPr>
                <w:rFonts w:ascii="Calibri" w:hAnsi="Calibri"/>
                <w:sz w:val="16"/>
                <w:szCs w:val="18"/>
              </w:rPr>
              <w:t>April 28, 2020</w:t>
            </w:r>
          </w:p>
          <w:p w:rsidR="00A86996" w:rsidRPr="00EE0F31" w:rsidRDefault="00A86996" w:rsidP="00281141">
            <w:pPr>
              <w:spacing w:line="228" w:lineRule="auto"/>
              <w:jc w:val="right"/>
              <w:rPr>
                <w:rFonts w:ascii="Calibri" w:hAnsi="Calibri"/>
                <w:noProof/>
                <w:sz w:val="28"/>
              </w:rPr>
            </w:pPr>
          </w:p>
        </w:tc>
      </w:tr>
    </w:tbl>
    <w:p w:rsidR="00A86996" w:rsidRDefault="00A86996" w:rsidP="00FD5685">
      <w:pPr>
        <w:spacing w:line="228" w:lineRule="auto"/>
        <w:jc w:val="both"/>
        <w:rPr>
          <w:b/>
          <w:color w:val="000033"/>
          <w:sz w:val="22"/>
        </w:rPr>
      </w:pPr>
    </w:p>
    <w:p w:rsidR="00554718" w:rsidRPr="00DE655B" w:rsidRDefault="00554718" w:rsidP="00DE655B">
      <w:pPr>
        <w:numPr>
          <w:ilvl w:val="0"/>
          <w:numId w:val="3"/>
        </w:numPr>
        <w:pBdr>
          <w:top w:val="single" w:sz="18" w:space="1" w:color="08862A"/>
          <w:left w:val="single" w:sz="18" w:space="4" w:color="08862A"/>
          <w:bottom w:val="single" w:sz="18" w:space="1" w:color="08862A"/>
          <w:right w:val="single" w:sz="18" w:space="4" w:color="08862A"/>
        </w:pBdr>
        <w:shd w:val="clear" w:color="auto" w:fill="08862A"/>
        <w:spacing w:line="228" w:lineRule="auto"/>
        <w:ind w:hanging="720"/>
        <w:jc w:val="both"/>
        <w:rPr>
          <w:b/>
          <w:color w:val="F2F2F2" w:themeColor="background1" w:themeShade="F2"/>
          <w:sz w:val="22"/>
        </w:rPr>
      </w:pPr>
      <w:r w:rsidRPr="00DE655B">
        <w:rPr>
          <w:b/>
          <w:color w:val="F2F2F2" w:themeColor="background1" w:themeShade="F2"/>
          <w:sz w:val="22"/>
        </w:rPr>
        <w:t>DEFINITION</w:t>
      </w:r>
    </w:p>
    <w:p w:rsidR="00BB32FB" w:rsidRPr="00E70D85" w:rsidRDefault="00BB32FB" w:rsidP="00BB32FB">
      <w:pPr>
        <w:spacing w:line="228" w:lineRule="auto"/>
        <w:ind w:left="720"/>
        <w:jc w:val="both"/>
        <w:rPr>
          <w:sz w:val="22"/>
        </w:rPr>
      </w:pPr>
    </w:p>
    <w:p w:rsidR="00554718" w:rsidRPr="00E70D85" w:rsidRDefault="00554718" w:rsidP="00BB32FB">
      <w:pPr>
        <w:spacing w:line="228" w:lineRule="auto"/>
        <w:ind w:left="360"/>
        <w:jc w:val="both"/>
        <w:rPr>
          <w:sz w:val="22"/>
        </w:rPr>
      </w:pPr>
      <w:r w:rsidRPr="00E70D85">
        <w:rPr>
          <w:sz w:val="22"/>
        </w:rPr>
        <w:t>For the purpose of this document, an “Attendance Area” is an area surrounding a school, defined by a specific boundary line, in which residing students would normally attend the school located within the attendance area.</w:t>
      </w:r>
    </w:p>
    <w:p w:rsidR="00554718" w:rsidRPr="00BB32FB" w:rsidRDefault="00554718" w:rsidP="00BB32FB">
      <w:pPr>
        <w:spacing w:line="228" w:lineRule="auto"/>
        <w:jc w:val="both"/>
        <w:rPr>
          <w:color w:val="000033"/>
          <w:sz w:val="22"/>
        </w:rPr>
      </w:pPr>
    </w:p>
    <w:p w:rsidR="00554718" w:rsidRPr="00DE655B" w:rsidRDefault="00554718" w:rsidP="00DE655B">
      <w:pPr>
        <w:numPr>
          <w:ilvl w:val="0"/>
          <w:numId w:val="3"/>
        </w:numPr>
        <w:pBdr>
          <w:top w:val="single" w:sz="18" w:space="1" w:color="08862A"/>
          <w:left w:val="single" w:sz="18" w:space="4" w:color="08862A"/>
          <w:bottom w:val="single" w:sz="18" w:space="1" w:color="08862A"/>
          <w:right w:val="single" w:sz="18" w:space="4" w:color="08862A"/>
        </w:pBdr>
        <w:shd w:val="clear" w:color="auto" w:fill="08862A"/>
        <w:spacing w:line="228" w:lineRule="auto"/>
        <w:ind w:hanging="720"/>
        <w:jc w:val="both"/>
        <w:rPr>
          <w:b/>
          <w:color w:val="F2F2F2" w:themeColor="background1" w:themeShade="F2"/>
          <w:sz w:val="22"/>
        </w:rPr>
      </w:pPr>
      <w:r w:rsidRPr="00DE655B">
        <w:rPr>
          <w:b/>
          <w:color w:val="F2F2F2" w:themeColor="background1" w:themeShade="F2"/>
          <w:sz w:val="22"/>
        </w:rPr>
        <w:t>ACCOMMODATION PLANNING</w:t>
      </w:r>
    </w:p>
    <w:p w:rsidR="00BB32FB" w:rsidRDefault="00BB32FB" w:rsidP="00BB32FB">
      <w:pPr>
        <w:spacing w:line="228" w:lineRule="auto"/>
        <w:ind w:left="720"/>
        <w:jc w:val="both"/>
        <w:rPr>
          <w:color w:val="000033"/>
          <w:sz w:val="22"/>
        </w:rPr>
      </w:pPr>
    </w:p>
    <w:p w:rsidR="00554718" w:rsidRPr="00E70D85" w:rsidRDefault="00554718" w:rsidP="00BB32FB">
      <w:pPr>
        <w:spacing w:line="228" w:lineRule="auto"/>
        <w:ind w:left="360"/>
        <w:jc w:val="both"/>
        <w:rPr>
          <w:sz w:val="22"/>
        </w:rPr>
      </w:pPr>
      <w:r w:rsidRPr="00E70D85">
        <w:rPr>
          <w:sz w:val="22"/>
        </w:rPr>
        <w:t xml:space="preserve">The Controller of Facilities Services shall maintain information on school capacities, enrolments, attendance area boundaries and </w:t>
      </w:r>
      <w:proofErr w:type="spellStart"/>
      <w:r w:rsidRPr="00E70D85">
        <w:rPr>
          <w:sz w:val="22"/>
        </w:rPr>
        <w:t>out-of</w:t>
      </w:r>
      <w:proofErr w:type="spellEnd"/>
      <w:r w:rsidRPr="00E70D85">
        <w:rPr>
          <w:sz w:val="22"/>
        </w:rPr>
        <w:t xml:space="preserve"> attendance-area students.</w:t>
      </w:r>
    </w:p>
    <w:p w:rsidR="00BB32FB" w:rsidRPr="00E70D85" w:rsidRDefault="00BB32FB" w:rsidP="00BB32FB">
      <w:pPr>
        <w:spacing w:line="228" w:lineRule="auto"/>
        <w:ind w:left="720"/>
        <w:jc w:val="both"/>
        <w:rPr>
          <w:sz w:val="22"/>
        </w:rPr>
      </w:pPr>
    </w:p>
    <w:p w:rsidR="00554718" w:rsidRPr="00E70D85" w:rsidRDefault="00554718" w:rsidP="00BB32FB">
      <w:pPr>
        <w:spacing w:line="228" w:lineRule="auto"/>
        <w:ind w:left="360"/>
        <w:jc w:val="both"/>
        <w:rPr>
          <w:sz w:val="22"/>
        </w:rPr>
      </w:pPr>
      <w:r w:rsidRPr="00E70D85">
        <w:rPr>
          <w:sz w:val="22"/>
        </w:rPr>
        <w:t>The Controller of Facilities Services shall report annually to the Director of Education outlining accommodation utilization and identification of potential attendance area boundary reviews and new schools, school additions, school consolidations or school closures.</w:t>
      </w:r>
    </w:p>
    <w:p w:rsidR="00BB32FB" w:rsidRPr="00E70D85" w:rsidRDefault="00BB32FB" w:rsidP="00BB32FB">
      <w:pPr>
        <w:spacing w:line="228" w:lineRule="auto"/>
        <w:ind w:left="720"/>
        <w:jc w:val="both"/>
        <w:rPr>
          <w:sz w:val="22"/>
        </w:rPr>
      </w:pPr>
    </w:p>
    <w:p w:rsidR="00554718" w:rsidRPr="00E70D85" w:rsidRDefault="00554718" w:rsidP="00BB32FB">
      <w:pPr>
        <w:spacing w:line="228" w:lineRule="auto"/>
        <w:ind w:left="360"/>
        <w:jc w:val="both"/>
        <w:rPr>
          <w:sz w:val="22"/>
        </w:rPr>
      </w:pPr>
      <w:r w:rsidRPr="00E70D85">
        <w:rPr>
          <w:sz w:val="22"/>
        </w:rPr>
        <w:t>The Director of Education will provide recommendations to the Board where an Ad-hoc Attendance Area Review Committee may be required due to changing demographics and the need for new schools, school additions</w:t>
      </w:r>
      <w:r w:rsidR="00DC7ED1" w:rsidRPr="00E70D85">
        <w:rPr>
          <w:sz w:val="22"/>
        </w:rPr>
        <w:t>,</w:t>
      </w:r>
      <w:r w:rsidRPr="00E70D85">
        <w:rPr>
          <w:sz w:val="22"/>
        </w:rPr>
        <w:t xml:space="preserve"> school closures</w:t>
      </w:r>
      <w:r w:rsidR="00DC7ED1" w:rsidRPr="00E70D85">
        <w:rPr>
          <w:sz w:val="22"/>
        </w:rPr>
        <w:t xml:space="preserve"> or a recommendation from a Pupil Accommodation Review</w:t>
      </w:r>
      <w:r w:rsidRPr="00E70D85">
        <w:rPr>
          <w:sz w:val="22"/>
        </w:rPr>
        <w:t>.</w:t>
      </w:r>
    </w:p>
    <w:p w:rsidR="00554718" w:rsidRPr="00E70D85" w:rsidRDefault="00554718" w:rsidP="00BB32FB">
      <w:pPr>
        <w:spacing w:line="228" w:lineRule="auto"/>
        <w:jc w:val="both"/>
        <w:rPr>
          <w:sz w:val="22"/>
        </w:rPr>
      </w:pPr>
    </w:p>
    <w:p w:rsidR="00554718" w:rsidRPr="00DE655B" w:rsidRDefault="00554718" w:rsidP="00DE655B">
      <w:pPr>
        <w:numPr>
          <w:ilvl w:val="0"/>
          <w:numId w:val="3"/>
        </w:numPr>
        <w:pBdr>
          <w:top w:val="single" w:sz="18" w:space="1" w:color="08862A"/>
          <w:left w:val="single" w:sz="18" w:space="4" w:color="08862A"/>
          <w:bottom w:val="single" w:sz="18" w:space="1" w:color="08862A"/>
          <w:right w:val="single" w:sz="18" w:space="4" w:color="08862A"/>
        </w:pBdr>
        <w:shd w:val="clear" w:color="auto" w:fill="08862A"/>
        <w:spacing w:line="228" w:lineRule="auto"/>
        <w:ind w:hanging="720"/>
        <w:jc w:val="both"/>
        <w:rPr>
          <w:b/>
          <w:color w:val="F2F2F2" w:themeColor="background1" w:themeShade="F2"/>
          <w:sz w:val="22"/>
        </w:rPr>
      </w:pPr>
      <w:r w:rsidRPr="00DE655B">
        <w:rPr>
          <w:b/>
          <w:color w:val="F2F2F2" w:themeColor="background1" w:themeShade="F2"/>
          <w:sz w:val="22"/>
        </w:rPr>
        <w:t>SCHOOLS IDENTIFIED FOR ATTENDANCE AREA REVIEWS</w:t>
      </w:r>
    </w:p>
    <w:p w:rsidR="00BB32FB" w:rsidRDefault="00BB32FB" w:rsidP="00BB32FB">
      <w:pPr>
        <w:spacing w:line="228" w:lineRule="auto"/>
        <w:ind w:firstLine="720"/>
        <w:jc w:val="both"/>
        <w:rPr>
          <w:color w:val="000033"/>
          <w:sz w:val="22"/>
        </w:rPr>
      </w:pPr>
    </w:p>
    <w:p w:rsidR="00554718" w:rsidRPr="00E70D85" w:rsidRDefault="00554718" w:rsidP="00BB32FB">
      <w:pPr>
        <w:spacing w:line="228" w:lineRule="auto"/>
        <w:ind w:left="360"/>
        <w:jc w:val="both"/>
        <w:rPr>
          <w:sz w:val="22"/>
        </w:rPr>
      </w:pPr>
      <w:r w:rsidRPr="00E70D85">
        <w:rPr>
          <w:sz w:val="22"/>
        </w:rPr>
        <w:t>Specific schools may be identified for attendance area reviews:</w:t>
      </w:r>
    </w:p>
    <w:p w:rsidR="00554718" w:rsidRPr="00E70D85" w:rsidRDefault="00554718" w:rsidP="00E57687">
      <w:pPr>
        <w:numPr>
          <w:ilvl w:val="0"/>
          <w:numId w:val="4"/>
        </w:numPr>
        <w:spacing w:line="228" w:lineRule="auto"/>
        <w:ind w:left="720"/>
        <w:jc w:val="both"/>
        <w:rPr>
          <w:sz w:val="22"/>
        </w:rPr>
      </w:pPr>
      <w:r w:rsidRPr="00E70D85">
        <w:rPr>
          <w:sz w:val="22"/>
        </w:rPr>
        <w:t>Where the long-term enrolment projections indicate significant under</w:t>
      </w:r>
      <w:r w:rsidR="00E57687" w:rsidRPr="00E70D85">
        <w:rPr>
          <w:sz w:val="22"/>
        </w:rPr>
        <w:t xml:space="preserve">/over </w:t>
      </w:r>
      <w:r w:rsidRPr="00E70D85">
        <w:rPr>
          <w:sz w:val="22"/>
        </w:rPr>
        <w:t>utilization</w:t>
      </w:r>
      <w:r w:rsidR="00E57687" w:rsidRPr="00E70D85">
        <w:rPr>
          <w:sz w:val="22"/>
        </w:rPr>
        <w:t>.</w:t>
      </w:r>
      <w:r w:rsidRPr="00E70D85">
        <w:rPr>
          <w:sz w:val="22"/>
        </w:rPr>
        <w:t xml:space="preserve"> When new schools, school additions or school consolidations or school closures are being considered.</w:t>
      </w:r>
    </w:p>
    <w:p w:rsidR="00554718" w:rsidRPr="00BB32FB" w:rsidRDefault="00554718" w:rsidP="00BB32FB">
      <w:pPr>
        <w:spacing w:line="228" w:lineRule="auto"/>
        <w:jc w:val="both"/>
        <w:rPr>
          <w:color w:val="000033"/>
          <w:sz w:val="22"/>
        </w:rPr>
      </w:pPr>
    </w:p>
    <w:p w:rsidR="00554718" w:rsidRPr="00DE655B" w:rsidRDefault="00554718" w:rsidP="00DE655B">
      <w:pPr>
        <w:numPr>
          <w:ilvl w:val="0"/>
          <w:numId w:val="3"/>
        </w:numPr>
        <w:pBdr>
          <w:top w:val="single" w:sz="18" w:space="1" w:color="08862A"/>
          <w:left w:val="single" w:sz="18" w:space="4" w:color="08862A"/>
          <w:bottom w:val="single" w:sz="18" w:space="1" w:color="08862A"/>
          <w:right w:val="single" w:sz="18" w:space="4" w:color="08862A"/>
        </w:pBdr>
        <w:shd w:val="clear" w:color="auto" w:fill="08862A"/>
        <w:spacing w:line="228" w:lineRule="auto"/>
        <w:ind w:hanging="720"/>
        <w:jc w:val="both"/>
        <w:rPr>
          <w:b/>
          <w:color w:val="F2F2F2" w:themeColor="background1" w:themeShade="F2"/>
          <w:sz w:val="22"/>
        </w:rPr>
      </w:pPr>
      <w:r w:rsidRPr="00DE655B">
        <w:rPr>
          <w:b/>
          <w:color w:val="F2F2F2" w:themeColor="background1" w:themeShade="F2"/>
          <w:sz w:val="22"/>
        </w:rPr>
        <w:t>AD-HOC ATTENDANCE AREA REVIEW COMMITTEE</w:t>
      </w:r>
    </w:p>
    <w:p w:rsidR="00BB32FB" w:rsidRDefault="00BB32FB" w:rsidP="00BB32FB">
      <w:pPr>
        <w:spacing w:line="228" w:lineRule="auto"/>
        <w:ind w:left="720"/>
        <w:jc w:val="both"/>
        <w:rPr>
          <w:color w:val="000033"/>
          <w:sz w:val="22"/>
        </w:rPr>
      </w:pPr>
    </w:p>
    <w:p w:rsidR="00554718" w:rsidRPr="00E70D85" w:rsidRDefault="00554718" w:rsidP="00BB32FB">
      <w:pPr>
        <w:spacing w:line="228" w:lineRule="auto"/>
        <w:ind w:left="360"/>
        <w:jc w:val="both"/>
        <w:rPr>
          <w:sz w:val="22"/>
        </w:rPr>
      </w:pPr>
      <w:r w:rsidRPr="00E70D85">
        <w:rPr>
          <w:sz w:val="22"/>
        </w:rPr>
        <w:t xml:space="preserve">An Ad-Hoc Attendance Area Review Committee shall be comprised of: </w:t>
      </w:r>
    </w:p>
    <w:p w:rsidR="00554718" w:rsidRPr="00E70D85" w:rsidRDefault="00554718" w:rsidP="00BB32FB">
      <w:pPr>
        <w:numPr>
          <w:ilvl w:val="0"/>
          <w:numId w:val="5"/>
        </w:numPr>
        <w:spacing w:line="228" w:lineRule="auto"/>
        <w:jc w:val="both"/>
        <w:rPr>
          <w:sz w:val="22"/>
        </w:rPr>
      </w:pPr>
      <w:r w:rsidRPr="00E70D85">
        <w:rPr>
          <w:sz w:val="22"/>
        </w:rPr>
        <w:t>Three (3) Trustees, as appointed by the Chair of the Board,</w:t>
      </w:r>
    </w:p>
    <w:p w:rsidR="00554718" w:rsidRPr="00E70D85" w:rsidRDefault="00554718" w:rsidP="00BB32FB">
      <w:pPr>
        <w:numPr>
          <w:ilvl w:val="0"/>
          <w:numId w:val="5"/>
        </w:numPr>
        <w:spacing w:line="228" w:lineRule="auto"/>
        <w:jc w:val="both"/>
        <w:rPr>
          <w:sz w:val="22"/>
        </w:rPr>
      </w:pPr>
      <w:r w:rsidRPr="00E70D85">
        <w:rPr>
          <w:sz w:val="22"/>
        </w:rPr>
        <w:t>One of the three (3) Area Attendance Review Committee Trustees must be a local Trustee of the Attendance Area under consideration,</w:t>
      </w:r>
    </w:p>
    <w:p w:rsidR="00554718" w:rsidRPr="00E70D85" w:rsidRDefault="00554718" w:rsidP="00BB32FB">
      <w:pPr>
        <w:numPr>
          <w:ilvl w:val="0"/>
          <w:numId w:val="5"/>
        </w:numPr>
        <w:spacing w:line="228" w:lineRule="auto"/>
        <w:jc w:val="both"/>
        <w:rPr>
          <w:sz w:val="22"/>
        </w:rPr>
      </w:pPr>
      <w:r w:rsidRPr="00E70D85">
        <w:rPr>
          <w:sz w:val="22"/>
        </w:rPr>
        <w:t>The three (3) Trustees shall be the voting members of the Committee,</w:t>
      </w:r>
    </w:p>
    <w:p w:rsidR="00554718" w:rsidRPr="00E70D85" w:rsidRDefault="00554718" w:rsidP="00BB32FB">
      <w:pPr>
        <w:numPr>
          <w:ilvl w:val="0"/>
          <w:numId w:val="5"/>
        </w:numPr>
        <w:spacing w:line="228" w:lineRule="auto"/>
        <w:jc w:val="both"/>
        <w:rPr>
          <w:sz w:val="22"/>
        </w:rPr>
      </w:pPr>
      <w:r w:rsidRPr="00E70D85">
        <w:rPr>
          <w:sz w:val="22"/>
        </w:rPr>
        <w:t>The Ad-Hoc Committee shall elect a Chair of the Committee,</w:t>
      </w:r>
    </w:p>
    <w:p w:rsidR="00DC7ED1" w:rsidRPr="00E70D85" w:rsidRDefault="00DC7ED1" w:rsidP="00DC7ED1">
      <w:pPr>
        <w:numPr>
          <w:ilvl w:val="0"/>
          <w:numId w:val="5"/>
        </w:numPr>
        <w:spacing w:line="228" w:lineRule="auto"/>
        <w:jc w:val="both"/>
        <w:rPr>
          <w:sz w:val="22"/>
        </w:rPr>
      </w:pPr>
      <w:r w:rsidRPr="00E70D85">
        <w:rPr>
          <w:sz w:val="22"/>
        </w:rPr>
        <w:t xml:space="preserve">The Controller of Facilities Services and/or designate </w:t>
      </w:r>
      <w:r w:rsidR="000D7D40" w:rsidRPr="00E70D85">
        <w:rPr>
          <w:sz w:val="22"/>
        </w:rPr>
        <w:t xml:space="preserve">who </w:t>
      </w:r>
      <w:r w:rsidRPr="00E70D85">
        <w:rPr>
          <w:sz w:val="22"/>
        </w:rPr>
        <w:t>shall serve as a resource person.</w:t>
      </w:r>
    </w:p>
    <w:p w:rsidR="00554718" w:rsidRPr="00E70D85" w:rsidRDefault="00554718" w:rsidP="00BB32FB">
      <w:pPr>
        <w:numPr>
          <w:ilvl w:val="0"/>
          <w:numId w:val="5"/>
        </w:numPr>
        <w:spacing w:line="228" w:lineRule="auto"/>
        <w:jc w:val="both"/>
        <w:rPr>
          <w:sz w:val="22"/>
        </w:rPr>
      </w:pPr>
      <w:r w:rsidRPr="00E70D85">
        <w:rPr>
          <w:sz w:val="22"/>
        </w:rPr>
        <w:t>A Superintendent of Education who shall serve as secretary of the Committee,</w:t>
      </w:r>
    </w:p>
    <w:p w:rsidR="00554718" w:rsidRPr="00E70D85" w:rsidRDefault="00554718" w:rsidP="00BB32FB">
      <w:pPr>
        <w:numPr>
          <w:ilvl w:val="0"/>
          <w:numId w:val="5"/>
        </w:numPr>
        <w:spacing w:line="228" w:lineRule="auto"/>
        <w:jc w:val="both"/>
        <w:rPr>
          <w:sz w:val="22"/>
        </w:rPr>
      </w:pPr>
      <w:r w:rsidRPr="00E70D85">
        <w:rPr>
          <w:sz w:val="22"/>
        </w:rPr>
        <w:t>The Principal(s)</w:t>
      </w:r>
      <w:r w:rsidR="000D7D40" w:rsidRPr="00E70D85">
        <w:rPr>
          <w:sz w:val="22"/>
        </w:rPr>
        <w:t xml:space="preserve"> who</w:t>
      </w:r>
      <w:r w:rsidRPr="00E70D85">
        <w:rPr>
          <w:sz w:val="22"/>
        </w:rPr>
        <w:t xml:space="preserve"> will act as a resource to the Superintendent of Education and will be in attendance as required,</w:t>
      </w:r>
    </w:p>
    <w:p w:rsidR="00554718" w:rsidRPr="00E70D85" w:rsidRDefault="00554718" w:rsidP="00BB32FB">
      <w:pPr>
        <w:numPr>
          <w:ilvl w:val="0"/>
          <w:numId w:val="5"/>
        </w:numPr>
        <w:spacing w:line="228" w:lineRule="auto"/>
        <w:jc w:val="both"/>
        <w:rPr>
          <w:sz w:val="22"/>
        </w:rPr>
      </w:pPr>
      <w:r w:rsidRPr="00E70D85">
        <w:rPr>
          <w:sz w:val="22"/>
        </w:rPr>
        <w:t>Catholic School Council Chairs</w:t>
      </w:r>
      <w:r w:rsidR="000D7D40" w:rsidRPr="00E70D85">
        <w:rPr>
          <w:sz w:val="22"/>
        </w:rPr>
        <w:t xml:space="preserve">, </w:t>
      </w:r>
      <w:r w:rsidR="00DC7ED1" w:rsidRPr="00E70D85">
        <w:rPr>
          <w:sz w:val="22"/>
        </w:rPr>
        <w:t>or designat</w:t>
      </w:r>
      <w:r w:rsidR="000D7D40" w:rsidRPr="00E70D85">
        <w:rPr>
          <w:sz w:val="22"/>
        </w:rPr>
        <w:t>e,</w:t>
      </w:r>
      <w:r w:rsidR="00DC7ED1" w:rsidRPr="00E70D85">
        <w:rPr>
          <w:sz w:val="22"/>
        </w:rPr>
        <w:t xml:space="preserve"> selected by the Catholic School Council</w:t>
      </w:r>
      <w:r w:rsidRPr="00E70D85">
        <w:rPr>
          <w:sz w:val="22"/>
        </w:rPr>
        <w:t xml:space="preserve"> of each of the identified schools within the Ad Hoc Attendance Area Review Committee will be invited to participate as a resource to the Committee</w:t>
      </w:r>
    </w:p>
    <w:p w:rsidR="00BB32FB" w:rsidRPr="00E70D85" w:rsidRDefault="00BB32FB" w:rsidP="00BB32FB">
      <w:pPr>
        <w:spacing w:line="228" w:lineRule="auto"/>
        <w:jc w:val="both"/>
        <w:rPr>
          <w:sz w:val="22"/>
        </w:rPr>
      </w:pPr>
    </w:p>
    <w:p w:rsidR="00554718" w:rsidRPr="00E70D85" w:rsidRDefault="00554718" w:rsidP="00BB32FB">
      <w:pPr>
        <w:spacing w:line="228" w:lineRule="auto"/>
        <w:ind w:left="360"/>
        <w:jc w:val="both"/>
        <w:rPr>
          <w:sz w:val="22"/>
        </w:rPr>
      </w:pPr>
      <w:r w:rsidRPr="00E70D85">
        <w:rPr>
          <w:sz w:val="22"/>
        </w:rPr>
        <w:t>The Committee shall consider such factors as the following in the Attendance Area Review:</w:t>
      </w:r>
    </w:p>
    <w:p w:rsidR="00554718" w:rsidRPr="00E70D85" w:rsidRDefault="00554718" w:rsidP="00BB32FB">
      <w:pPr>
        <w:numPr>
          <w:ilvl w:val="0"/>
          <w:numId w:val="7"/>
        </w:numPr>
        <w:spacing w:line="228" w:lineRule="auto"/>
        <w:jc w:val="both"/>
        <w:rPr>
          <w:sz w:val="22"/>
        </w:rPr>
      </w:pPr>
      <w:r w:rsidRPr="00E70D85">
        <w:rPr>
          <w:sz w:val="22"/>
        </w:rPr>
        <w:t>Current and projected enrolment,</w:t>
      </w:r>
    </w:p>
    <w:p w:rsidR="00554718" w:rsidRPr="00E70D85" w:rsidRDefault="00554718" w:rsidP="00BB32FB">
      <w:pPr>
        <w:numPr>
          <w:ilvl w:val="0"/>
          <w:numId w:val="7"/>
        </w:numPr>
        <w:spacing w:line="228" w:lineRule="auto"/>
        <w:jc w:val="both"/>
        <w:rPr>
          <w:sz w:val="22"/>
        </w:rPr>
      </w:pPr>
      <w:proofErr w:type="spellStart"/>
      <w:r w:rsidRPr="00E70D85">
        <w:rPr>
          <w:sz w:val="22"/>
        </w:rPr>
        <w:t>Out-of</w:t>
      </w:r>
      <w:proofErr w:type="spellEnd"/>
      <w:r w:rsidRPr="00E70D85">
        <w:rPr>
          <w:sz w:val="22"/>
        </w:rPr>
        <w:t xml:space="preserve"> attendance-area students,</w:t>
      </w:r>
    </w:p>
    <w:p w:rsidR="00554718" w:rsidRPr="00E70D85" w:rsidRDefault="00554718" w:rsidP="00BB32FB">
      <w:pPr>
        <w:numPr>
          <w:ilvl w:val="0"/>
          <w:numId w:val="7"/>
        </w:numPr>
        <w:spacing w:line="228" w:lineRule="auto"/>
        <w:jc w:val="both"/>
        <w:rPr>
          <w:sz w:val="22"/>
        </w:rPr>
      </w:pPr>
      <w:r w:rsidRPr="00E70D85">
        <w:rPr>
          <w:sz w:val="22"/>
        </w:rPr>
        <w:lastRenderedPageBreak/>
        <w:t>Location and proximity of adjacent schools,</w:t>
      </w:r>
    </w:p>
    <w:p w:rsidR="0031174C" w:rsidRPr="00E70D85" w:rsidRDefault="0031174C" w:rsidP="0031174C">
      <w:pPr>
        <w:numPr>
          <w:ilvl w:val="0"/>
          <w:numId w:val="7"/>
        </w:numPr>
        <w:spacing w:line="228" w:lineRule="auto"/>
        <w:jc w:val="both"/>
        <w:rPr>
          <w:sz w:val="22"/>
          <w:szCs w:val="22"/>
          <w:lang w:eastAsia="en-US"/>
        </w:rPr>
      </w:pPr>
      <w:r w:rsidRPr="00E70D85">
        <w:rPr>
          <w:sz w:val="22"/>
          <w:szCs w:val="22"/>
        </w:rPr>
        <w:t>Proximity to a parish,</w:t>
      </w:r>
    </w:p>
    <w:p w:rsidR="00554718" w:rsidRPr="00E70D85" w:rsidRDefault="00554718" w:rsidP="00BB32FB">
      <w:pPr>
        <w:numPr>
          <w:ilvl w:val="0"/>
          <w:numId w:val="7"/>
        </w:numPr>
        <w:spacing w:line="228" w:lineRule="auto"/>
        <w:jc w:val="both"/>
        <w:rPr>
          <w:sz w:val="22"/>
        </w:rPr>
      </w:pPr>
      <w:r w:rsidRPr="00E70D85">
        <w:rPr>
          <w:sz w:val="22"/>
        </w:rPr>
        <w:t>The current and future capacity of the school</w:t>
      </w:r>
      <w:r w:rsidR="00DC7ED1" w:rsidRPr="00E70D85">
        <w:rPr>
          <w:sz w:val="22"/>
        </w:rPr>
        <w:t>(s)</w:t>
      </w:r>
      <w:r w:rsidRPr="00E70D85">
        <w:rPr>
          <w:sz w:val="22"/>
        </w:rPr>
        <w:t xml:space="preserve"> and the school site</w:t>
      </w:r>
      <w:r w:rsidR="00DC7ED1" w:rsidRPr="00E70D85">
        <w:rPr>
          <w:sz w:val="22"/>
        </w:rPr>
        <w:t>(s)</w:t>
      </w:r>
      <w:r w:rsidRPr="00E70D85">
        <w:rPr>
          <w:sz w:val="22"/>
        </w:rPr>
        <w:t>,</w:t>
      </w:r>
    </w:p>
    <w:p w:rsidR="00554718" w:rsidRPr="00E70D85" w:rsidRDefault="00554718" w:rsidP="00BB32FB">
      <w:pPr>
        <w:numPr>
          <w:ilvl w:val="0"/>
          <w:numId w:val="7"/>
        </w:numPr>
        <w:spacing w:line="228" w:lineRule="auto"/>
        <w:jc w:val="both"/>
        <w:rPr>
          <w:sz w:val="22"/>
        </w:rPr>
      </w:pPr>
      <w:r w:rsidRPr="00E70D85">
        <w:rPr>
          <w:sz w:val="22"/>
        </w:rPr>
        <w:t>Other appropriate statistics,</w:t>
      </w:r>
    </w:p>
    <w:p w:rsidR="00554718" w:rsidRPr="00E70D85" w:rsidRDefault="00554718" w:rsidP="00BB32FB">
      <w:pPr>
        <w:numPr>
          <w:ilvl w:val="0"/>
          <w:numId w:val="7"/>
        </w:numPr>
        <w:spacing w:line="228" w:lineRule="auto"/>
        <w:jc w:val="both"/>
        <w:rPr>
          <w:sz w:val="22"/>
        </w:rPr>
      </w:pPr>
      <w:r w:rsidRPr="00E70D85">
        <w:rPr>
          <w:sz w:val="22"/>
        </w:rPr>
        <w:t>Effects on transportation, the facility and such other factors as appropriate,</w:t>
      </w:r>
    </w:p>
    <w:p w:rsidR="00BB32FB" w:rsidRPr="00E70D85" w:rsidRDefault="00DC7ED1" w:rsidP="00BB32FB">
      <w:pPr>
        <w:numPr>
          <w:ilvl w:val="0"/>
          <w:numId w:val="7"/>
        </w:numPr>
        <w:spacing w:line="228" w:lineRule="auto"/>
        <w:jc w:val="both"/>
        <w:rPr>
          <w:sz w:val="22"/>
        </w:rPr>
      </w:pPr>
      <w:r w:rsidRPr="00E70D85">
        <w:rPr>
          <w:sz w:val="22"/>
        </w:rPr>
        <w:t>Input received from parents/guardians</w:t>
      </w:r>
      <w:r w:rsidR="004565F0" w:rsidRPr="00E70D85">
        <w:rPr>
          <w:sz w:val="22"/>
        </w:rPr>
        <w:t>, pastors</w:t>
      </w:r>
      <w:r w:rsidR="0031174C" w:rsidRPr="00E70D85">
        <w:rPr>
          <w:sz w:val="22"/>
        </w:rPr>
        <w:t xml:space="preserve">, </w:t>
      </w:r>
      <w:r w:rsidRPr="00E70D85">
        <w:rPr>
          <w:sz w:val="22"/>
        </w:rPr>
        <w:t>students</w:t>
      </w:r>
      <w:r w:rsidR="0031174C" w:rsidRPr="00E70D85">
        <w:rPr>
          <w:sz w:val="22"/>
        </w:rPr>
        <w:t xml:space="preserve"> and other stakeholders</w:t>
      </w:r>
      <w:r w:rsidR="000D7D40" w:rsidRPr="00E70D85">
        <w:rPr>
          <w:sz w:val="22"/>
        </w:rPr>
        <w:t xml:space="preserve"> throughout the process</w:t>
      </w:r>
      <w:r w:rsidRPr="00E70D85">
        <w:rPr>
          <w:sz w:val="22"/>
        </w:rPr>
        <w:t xml:space="preserve">. </w:t>
      </w:r>
    </w:p>
    <w:p w:rsidR="00554718" w:rsidRPr="00E70D85" w:rsidRDefault="00554718" w:rsidP="00BB32FB">
      <w:pPr>
        <w:spacing w:line="228" w:lineRule="auto"/>
        <w:ind w:left="720"/>
        <w:jc w:val="both"/>
        <w:rPr>
          <w:sz w:val="22"/>
        </w:rPr>
      </w:pPr>
    </w:p>
    <w:p w:rsidR="00554718" w:rsidRPr="00DE655B" w:rsidRDefault="00554718" w:rsidP="00DE655B">
      <w:pPr>
        <w:pBdr>
          <w:top w:val="single" w:sz="18" w:space="1" w:color="08862A"/>
          <w:left w:val="single" w:sz="18" w:space="4" w:color="08862A"/>
          <w:bottom w:val="single" w:sz="18" w:space="1" w:color="08862A"/>
          <w:right w:val="single" w:sz="18" w:space="4" w:color="08862A"/>
        </w:pBdr>
        <w:shd w:val="clear" w:color="auto" w:fill="08862A"/>
        <w:spacing w:line="228" w:lineRule="auto"/>
        <w:ind w:left="360" w:hanging="360"/>
        <w:jc w:val="both"/>
        <w:rPr>
          <w:b/>
          <w:color w:val="F2F2F2" w:themeColor="background1" w:themeShade="F2"/>
          <w:sz w:val="22"/>
        </w:rPr>
      </w:pPr>
      <w:r w:rsidRPr="00DE655B">
        <w:rPr>
          <w:b/>
          <w:color w:val="F2F2F2" w:themeColor="background1" w:themeShade="F2"/>
          <w:sz w:val="22"/>
        </w:rPr>
        <w:t>5.</w:t>
      </w:r>
      <w:r w:rsidRPr="00DE655B">
        <w:rPr>
          <w:b/>
          <w:color w:val="F2F2F2" w:themeColor="background1" w:themeShade="F2"/>
          <w:sz w:val="22"/>
        </w:rPr>
        <w:tab/>
        <w:t>AD-HOC ATTENDANCE AREA REVIEW COMMITTEE</w:t>
      </w:r>
      <w:r w:rsidR="00BB32FB" w:rsidRPr="00DE655B">
        <w:rPr>
          <w:b/>
          <w:color w:val="F2F2F2" w:themeColor="background1" w:themeShade="F2"/>
          <w:sz w:val="22"/>
        </w:rPr>
        <w:t xml:space="preserve"> </w:t>
      </w:r>
      <w:r w:rsidRPr="00DE655B">
        <w:rPr>
          <w:b/>
          <w:color w:val="F2F2F2" w:themeColor="background1" w:themeShade="F2"/>
          <w:sz w:val="22"/>
        </w:rPr>
        <w:tab/>
        <w:t>RECOMMENDATIONS</w:t>
      </w:r>
    </w:p>
    <w:p w:rsidR="00BB32FB" w:rsidRPr="00BB32FB" w:rsidRDefault="00BB32FB" w:rsidP="00BB32FB">
      <w:pPr>
        <w:spacing w:line="228" w:lineRule="auto"/>
        <w:ind w:left="360" w:hanging="360"/>
        <w:jc w:val="both"/>
        <w:rPr>
          <w:b/>
          <w:color w:val="000033"/>
          <w:sz w:val="22"/>
        </w:rPr>
      </w:pPr>
    </w:p>
    <w:p w:rsidR="00554718" w:rsidRPr="00E70D85" w:rsidRDefault="00554718" w:rsidP="00BB32FB">
      <w:pPr>
        <w:spacing w:line="228" w:lineRule="auto"/>
        <w:ind w:left="360"/>
        <w:jc w:val="both"/>
        <w:rPr>
          <w:sz w:val="22"/>
        </w:rPr>
      </w:pPr>
      <w:r w:rsidRPr="00E70D85">
        <w:rPr>
          <w:sz w:val="22"/>
        </w:rPr>
        <w:t>The final report of the Ad-hoc Committee shall be submitted by a date established by the Board and will include the meeting minutes of the Committee.</w:t>
      </w:r>
    </w:p>
    <w:p w:rsidR="00BB32FB" w:rsidRPr="00E70D85" w:rsidRDefault="00BB32FB" w:rsidP="00BB32FB">
      <w:pPr>
        <w:spacing w:line="228" w:lineRule="auto"/>
        <w:ind w:left="360"/>
        <w:jc w:val="both"/>
        <w:rPr>
          <w:sz w:val="22"/>
        </w:rPr>
      </w:pPr>
    </w:p>
    <w:p w:rsidR="00554718" w:rsidRPr="00E70D85" w:rsidRDefault="00554718" w:rsidP="00BB32FB">
      <w:pPr>
        <w:spacing w:line="228" w:lineRule="auto"/>
        <w:ind w:left="360"/>
        <w:jc w:val="both"/>
        <w:rPr>
          <w:sz w:val="22"/>
        </w:rPr>
      </w:pPr>
      <w:r w:rsidRPr="00E70D85">
        <w:rPr>
          <w:sz w:val="22"/>
        </w:rPr>
        <w:t>The Committee of the Whole shall receive the report of the Ad-hoc Committee’s report in public session.</w:t>
      </w:r>
    </w:p>
    <w:p w:rsidR="00BB32FB" w:rsidRPr="00E70D85" w:rsidRDefault="00BB32FB" w:rsidP="00BB32FB">
      <w:pPr>
        <w:spacing w:line="228" w:lineRule="auto"/>
        <w:ind w:left="360"/>
        <w:jc w:val="both"/>
        <w:rPr>
          <w:sz w:val="22"/>
        </w:rPr>
      </w:pPr>
    </w:p>
    <w:p w:rsidR="00554718" w:rsidRPr="00E70D85" w:rsidRDefault="00554718" w:rsidP="00BB32FB">
      <w:pPr>
        <w:spacing w:line="228" w:lineRule="auto"/>
        <w:ind w:left="360"/>
        <w:jc w:val="both"/>
        <w:rPr>
          <w:sz w:val="22"/>
        </w:rPr>
      </w:pPr>
      <w:r w:rsidRPr="00E70D85">
        <w:rPr>
          <w:sz w:val="22"/>
        </w:rPr>
        <w:t>The Board shall make a decision regarding the report as recommended by the Committee of the Whole.</w:t>
      </w:r>
    </w:p>
    <w:p w:rsidR="00BB32FB" w:rsidRPr="00E70D85" w:rsidRDefault="00BB32FB" w:rsidP="00BB32FB">
      <w:pPr>
        <w:spacing w:line="228" w:lineRule="auto"/>
        <w:ind w:left="360"/>
        <w:jc w:val="both"/>
        <w:rPr>
          <w:sz w:val="22"/>
        </w:rPr>
      </w:pPr>
    </w:p>
    <w:p w:rsidR="00554718" w:rsidRPr="00E70D85" w:rsidRDefault="00554718" w:rsidP="00BB32FB">
      <w:pPr>
        <w:spacing w:line="228" w:lineRule="auto"/>
        <w:ind w:left="360"/>
        <w:jc w:val="both"/>
        <w:rPr>
          <w:sz w:val="22"/>
        </w:rPr>
      </w:pPr>
      <w:r w:rsidRPr="00E70D85">
        <w:rPr>
          <w:sz w:val="22"/>
        </w:rPr>
        <w:t xml:space="preserve">The Director of Education and Senior Administrative Council will develop a plan to implement the </w:t>
      </w:r>
      <w:r w:rsidR="00DC7ED1" w:rsidRPr="00E70D85">
        <w:rPr>
          <w:sz w:val="22"/>
        </w:rPr>
        <w:t xml:space="preserve">decision of the </w:t>
      </w:r>
      <w:r w:rsidRPr="00E70D85">
        <w:rPr>
          <w:sz w:val="22"/>
        </w:rPr>
        <w:t>Board</w:t>
      </w:r>
      <w:r w:rsidR="00DC7ED1" w:rsidRPr="00E70D85">
        <w:rPr>
          <w:sz w:val="22"/>
        </w:rPr>
        <w:t xml:space="preserve">. </w:t>
      </w:r>
      <w:r w:rsidRPr="00E70D85">
        <w:rPr>
          <w:sz w:val="22"/>
        </w:rPr>
        <w:t xml:space="preserve"> </w:t>
      </w:r>
    </w:p>
    <w:p w:rsidR="007677A3" w:rsidRDefault="007677A3" w:rsidP="00BB32FB">
      <w:pPr>
        <w:spacing w:line="228" w:lineRule="auto"/>
        <w:ind w:left="360"/>
        <w:jc w:val="both"/>
        <w:rPr>
          <w:color w:val="000033"/>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677A3"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7677A3" w:rsidRPr="00907AF4" w:rsidRDefault="007677A3" w:rsidP="00BB464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7677A3" w:rsidRPr="00907AF4" w:rsidRDefault="007677A3" w:rsidP="00BB4644">
            <w:pPr>
              <w:spacing w:line="228" w:lineRule="auto"/>
              <w:rPr>
                <w:rFonts w:ascii="Calibri" w:hAnsi="Calibri"/>
                <w:b/>
                <w:color w:val="FFFFFF"/>
                <w:sz w:val="18"/>
                <w:szCs w:val="18"/>
              </w:rPr>
            </w:pPr>
          </w:p>
          <w:p w:rsidR="007677A3" w:rsidRPr="00907AF4" w:rsidRDefault="007677A3"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7677A3" w:rsidRPr="00907AF4" w:rsidRDefault="007677A3"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677A3" w:rsidRPr="00907AF4" w:rsidRDefault="007677A3" w:rsidP="00BB4644">
            <w:pPr>
              <w:spacing w:line="228" w:lineRule="auto"/>
              <w:rPr>
                <w:rFonts w:ascii="Calibri" w:hAnsi="Calibri"/>
                <w:b/>
                <w:sz w:val="18"/>
                <w:szCs w:val="18"/>
              </w:rPr>
            </w:pPr>
            <w:r>
              <w:rPr>
                <w:rFonts w:ascii="Calibri" w:hAnsi="Calibri"/>
                <w:b/>
                <w:sz w:val="18"/>
                <w:szCs w:val="18"/>
              </w:rPr>
              <w:t>June 23, 1998</w:t>
            </w:r>
          </w:p>
          <w:p w:rsidR="007677A3" w:rsidRPr="00907AF4" w:rsidRDefault="007677A3" w:rsidP="00BB4644">
            <w:pPr>
              <w:spacing w:line="228" w:lineRule="auto"/>
              <w:rPr>
                <w:rFonts w:ascii="Calibri" w:hAnsi="Calibri"/>
                <w:b/>
                <w:sz w:val="18"/>
                <w:szCs w:val="18"/>
              </w:rPr>
            </w:pPr>
          </w:p>
          <w:p w:rsidR="007677A3" w:rsidRDefault="007677A3" w:rsidP="00BB4644">
            <w:pPr>
              <w:spacing w:line="228" w:lineRule="auto"/>
              <w:rPr>
                <w:rFonts w:ascii="Calibri" w:hAnsi="Calibri"/>
                <w:b/>
                <w:sz w:val="18"/>
                <w:szCs w:val="18"/>
              </w:rPr>
            </w:pPr>
            <w:r>
              <w:rPr>
                <w:rFonts w:ascii="Calibri" w:hAnsi="Calibri"/>
                <w:b/>
                <w:sz w:val="18"/>
                <w:szCs w:val="18"/>
              </w:rPr>
              <w:t>November 9, 1999</w:t>
            </w:r>
          </w:p>
          <w:p w:rsidR="007677A3" w:rsidRDefault="007677A3" w:rsidP="00BB4644">
            <w:pPr>
              <w:spacing w:line="228" w:lineRule="auto"/>
              <w:rPr>
                <w:rFonts w:ascii="Calibri" w:hAnsi="Calibri"/>
                <w:b/>
                <w:sz w:val="18"/>
                <w:szCs w:val="18"/>
              </w:rPr>
            </w:pPr>
            <w:r>
              <w:rPr>
                <w:rFonts w:ascii="Calibri" w:hAnsi="Calibri"/>
                <w:b/>
                <w:sz w:val="18"/>
                <w:szCs w:val="18"/>
              </w:rPr>
              <w:t>September 12, 2000</w:t>
            </w:r>
          </w:p>
          <w:p w:rsidR="007677A3" w:rsidRDefault="007677A3" w:rsidP="00BB4644">
            <w:pPr>
              <w:spacing w:line="228" w:lineRule="auto"/>
              <w:rPr>
                <w:rFonts w:ascii="Calibri" w:hAnsi="Calibri"/>
                <w:b/>
                <w:sz w:val="18"/>
                <w:szCs w:val="18"/>
              </w:rPr>
            </w:pPr>
            <w:r>
              <w:rPr>
                <w:rFonts w:ascii="Calibri" w:hAnsi="Calibri"/>
                <w:b/>
                <w:sz w:val="18"/>
                <w:szCs w:val="18"/>
              </w:rPr>
              <w:t>September 19, 2001</w:t>
            </w:r>
          </w:p>
          <w:p w:rsidR="007677A3" w:rsidRDefault="007677A3" w:rsidP="00BB4644">
            <w:pPr>
              <w:spacing w:line="228" w:lineRule="auto"/>
              <w:rPr>
                <w:rFonts w:ascii="Calibri" w:hAnsi="Calibri"/>
                <w:b/>
                <w:sz w:val="18"/>
                <w:szCs w:val="18"/>
              </w:rPr>
            </w:pPr>
            <w:r>
              <w:rPr>
                <w:rFonts w:ascii="Calibri" w:hAnsi="Calibri"/>
                <w:b/>
                <w:sz w:val="18"/>
                <w:szCs w:val="18"/>
              </w:rPr>
              <w:t>June 16, 2009</w:t>
            </w:r>
          </w:p>
          <w:p w:rsidR="007677A3" w:rsidRDefault="007677A3" w:rsidP="00BB4644">
            <w:pPr>
              <w:spacing w:line="228" w:lineRule="auto"/>
              <w:rPr>
                <w:rFonts w:ascii="Calibri" w:hAnsi="Calibri"/>
                <w:b/>
                <w:sz w:val="18"/>
                <w:szCs w:val="18"/>
              </w:rPr>
            </w:pPr>
            <w:r>
              <w:rPr>
                <w:rFonts w:ascii="Calibri" w:hAnsi="Calibri"/>
                <w:b/>
                <w:sz w:val="18"/>
                <w:szCs w:val="18"/>
              </w:rPr>
              <w:t>October 23, 2012</w:t>
            </w:r>
          </w:p>
          <w:p w:rsidR="00E70D85" w:rsidRDefault="00E70D85" w:rsidP="00BB4644">
            <w:pPr>
              <w:spacing w:line="228" w:lineRule="auto"/>
              <w:rPr>
                <w:rFonts w:ascii="Calibri" w:hAnsi="Calibri"/>
                <w:b/>
                <w:sz w:val="18"/>
                <w:szCs w:val="18"/>
              </w:rPr>
            </w:pPr>
            <w:r>
              <w:rPr>
                <w:rFonts w:ascii="Calibri" w:hAnsi="Calibri"/>
                <w:b/>
                <w:sz w:val="18"/>
                <w:szCs w:val="18"/>
              </w:rPr>
              <w:t>April 28, 2020</w:t>
            </w:r>
            <w:bookmarkStart w:id="0" w:name="_GoBack"/>
            <w:bookmarkEnd w:id="0"/>
          </w:p>
          <w:p w:rsidR="007677A3" w:rsidRPr="00907AF4" w:rsidRDefault="007677A3">
            <w:pPr>
              <w:spacing w:line="228" w:lineRule="auto"/>
              <w:rPr>
                <w:rFonts w:ascii="Calibri" w:hAnsi="Calibri"/>
                <w:b/>
                <w:sz w:val="18"/>
                <w:szCs w:val="18"/>
              </w:rPr>
            </w:pPr>
          </w:p>
        </w:tc>
      </w:tr>
    </w:tbl>
    <w:p w:rsidR="007677A3" w:rsidRPr="00BB32FB" w:rsidRDefault="007677A3" w:rsidP="00BB32FB">
      <w:pPr>
        <w:spacing w:line="228" w:lineRule="auto"/>
        <w:ind w:left="360"/>
        <w:jc w:val="both"/>
        <w:rPr>
          <w:color w:val="000033"/>
          <w:sz w:val="22"/>
        </w:rPr>
      </w:pPr>
    </w:p>
    <w:p w:rsidR="005B4C71" w:rsidRPr="00BB32FB" w:rsidRDefault="005B4C71" w:rsidP="00BB32FB">
      <w:pPr>
        <w:spacing w:line="228" w:lineRule="auto"/>
        <w:rPr>
          <w:sz w:val="22"/>
        </w:rPr>
      </w:pPr>
    </w:p>
    <w:sectPr w:rsidR="005B4C71" w:rsidRPr="00BB32FB" w:rsidSect="00DE655B">
      <w:footerReference w:type="default" r:id="rId8"/>
      <w:pgSz w:w="12240" w:h="15840"/>
      <w:pgMar w:top="720" w:right="1440" w:bottom="72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A14" w:rsidRDefault="00BB4A14" w:rsidP="00BB32FB">
      <w:r>
        <w:separator/>
      </w:r>
    </w:p>
  </w:endnote>
  <w:endnote w:type="continuationSeparator" w:id="0">
    <w:p w:rsidR="00BB4A14" w:rsidRDefault="00BB4A14" w:rsidP="00BB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96" w:rsidRPr="00144F41" w:rsidRDefault="00A86996" w:rsidP="00A86996">
    <w:pPr>
      <w:pStyle w:val="Footer"/>
      <w:rPr>
        <w:i/>
        <w:color w:val="808080"/>
        <w:sz w:val="16"/>
        <w:szCs w:val="16"/>
      </w:rPr>
    </w:pPr>
  </w:p>
  <w:p w:rsidR="00A86996" w:rsidRPr="00144F41" w:rsidRDefault="00A86996" w:rsidP="00A86996">
    <w:pPr>
      <w:pStyle w:val="Footer"/>
      <w:rPr>
        <w:i/>
        <w:color w:val="808080"/>
        <w:sz w:val="16"/>
        <w:szCs w:val="16"/>
      </w:rPr>
    </w:pPr>
  </w:p>
  <w:p w:rsidR="00A86996" w:rsidRPr="00144F41" w:rsidRDefault="00A86996" w:rsidP="00A86996">
    <w:pPr>
      <w:pStyle w:val="Footer"/>
      <w:pBdr>
        <w:top w:val="single" w:sz="2" w:space="1" w:color="A6A6A6"/>
      </w:pBdr>
      <w:rPr>
        <w:i/>
        <w:color w:val="808080"/>
        <w:sz w:val="16"/>
        <w:szCs w:val="16"/>
      </w:rPr>
    </w:pPr>
  </w:p>
  <w:p w:rsidR="00A86996" w:rsidRPr="00144F41" w:rsidRDefault="00A86996" w:rsidP="00A86996">
    <w:pPr>
      <w:rPr>
        <w:i/>
        <w:color w:val="808080"/>
        <w:sz w:val="16"/>
        <w:szCs w:val="16"/>
      </w:rPr>
    </w:pPr>
    <w:r>
      <w:rPr>
        <w:i/>
        <w:color w:val="808080"/>
        <w:sz w:val="16"/>
        <w:szCs w:val="16"/>
      </w:rPr>
      <w:t xml:space="preserve">Attendance Area </w:t>
    </w:r>
    <w:r w:rsidRPr="00144F41">
      <w:rPr>
        <w:i/>
        <w:color w:val="808080"/>
        <w:sz w:val="16"/>
        <w:szCs w:val="16"/>
      </w:rPr>
      <w:t>Policy (</w:t>
    </w:r>
    <w:r>
      <w:rPr>
        <w:i/>
        <w:color w:val="808080"/>
        <w:sz w:val="16"/>
        <w:szCs w:val="16"/>
      </w:rPr>
      <w:t>301.3</w:t>
    </w:r>
    <w:r w:rsidRPr="00144F41">
      <w:rPr>
        <w:i/>
        <w:color w:val="808080"/>
        <w:sz w:val="16"/>
        <w:szCs w:val="16"/>
      </w:rPr>
      <w:t>)</w:t>
    </w:r>
    <w:r w:rsidR="00FD5685">
      <w:rPr>
        <w:i/>
        <w:color w:val="808080"/>
        <w:sz w:val="16"/>
        <w:szCs w:val="16"/>
      </w:rPr>
      <w:t xml:space="preserve"> Administrative Operational Procedures </w:t>
    </w:r>
  </w:p>
  <w:p w:rsidR="00BB32FB" w:rsidRPr="00A86996" w:rsidRDefault="00A86996">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4C51A6">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4C51A6">
      <w:rPr>
        <w:i/>
        <w:noProof/>
        <w:color w:val="808080"/>
        <w:sz w:val="16"/>
        <w:szCs w:val="16"/>
      </w:rPr>
      <w:t>2</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A14" w:rsidRDefault="00BB4A14" w:rsidP="00BB32FB">
      <w:r>
        <w:separator/>
      </w:r>
    </w:p>
  </w:footnote>
  <w:footnote w:type="continuationSeparator" w:id="0">
    <w:p w:rsidR="00BB4A14" w:rsidRDefault="00BB4A14" w:rsidP="00BB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EEE"/>
    <w:multiLevelType w:val="hybridMultilevel"/>
    <w:tmpl w:val="8214D9C8"/>
    <w:lvl w:ilvl="0" w:tplc="8286F63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80C04"/>
    <w:multiLevelType w:val="hybridMultilevel"/>
    <w:tmpl w:val="67F45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C866E1"/>
    <w:multiLevelType w:val="hybridMultilevel"/>
    <w:tmpl w:val="D94CD9B0"/>
    <w:lvl w:ilvl="0" w:tplc="5E16EB3A">
      <w:start w:val="1"/>
      <w:numFmt w:val="decimal"/>
      <w:lvlText w:val="%1."/>
      <w:lvlJc w:val="left"/>
      <w:pPr>
        <w:ind w:left="720" w:hanging="360"/>
      </w:pPr>
      <w:rPr>
        <w:rFonts w:hint="default"/>
      </w:rPr>
    </w:lvl>
    <w:lvl w:ilvl="1" w:tplc="F176C1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3BF5"/>
    <w:multiLevelType w:val="multilevel"/>
    <w:tmpl w:val="C7C66C6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72643"/>
    <w:multiLevelType w:val="hybridMultilevel"/>
    <w:tmpl w:val="48B26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7B6F06"/>
    <w:multiLevelType w:val="hybridMultilevel"/>
    <w:tmpl w:val="135278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1D2A61"/>
    <w:multiLevelType w:val="hybridMultilevel"/>
    <w:tmpl w:val="0BD8A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301A68"/>
    <w:multiLevelType w:val="multilevel"/>
    <w:tmpl w:val="45DC9E2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87EEE"/>
    <w:multiLevelType w:val="hybridMultilevel"/>
    <w:tmpl w:val="1B780E44"/>
    <w:lvl w:ilvl="0" w:tplc="B04A787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1"/>
  </w:num>
  <w:num w:numId="5">
    <w:abstractNumId w:val="6"/>
  </w:num>
  <w:num w:numId="6">
    <w:abstractNumId w:val="5"/>
  </w:num>
  <w:num w:numId="7">
    <w:abstractNumId w:val="4"/>
  </w:num>
  <w:num w:numId="8">
    <w:abstractNumId w:val="3"/>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056"/>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7D40"/>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4C33"/>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670D9"/>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0927"/>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25A"/>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A76CF"/>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74C"/>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2A32"/>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565F0"/>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C57"/>
    <w:rsid w:val="00490DD3"/>
    <w:rsid w:val="004912AD"/>
    <w:rsid w:val="00492D81"/>
    <w:rsid w:val="004939C7"/>
    <w:rsid w:val="00493D59"/>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A6"/>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4F04"/>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4718"/>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1EB9"/>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5D48"/>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483"/>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677A3"/>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246"/>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51F"/>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3097"/>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0830"/>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C03"/>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0F"/>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6996"/>
    <w:rsid w:val="00A87637"/>
    <w:rsid w:val="00A90DC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455"/>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11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B7B"/>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32FB"/>
    <w:rsid w:val="00BB4A14"/>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27E1A"/>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C7ED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55B"/>
    <w:rsid w:val="00DE677D"/>
    <w:rsid w:val="00DE7995"/>
    <w:rsid w:val="00DE7E67"/>
    <w:rsid w:val="00DF1C19"/>
    <w:rsid w:val="00DF1E5D"/>
    <w:rsid w:val="00DF2825"/>
    <w:rsid w:val="00DF282A"/>
    <w:rsid w:val="00DF2D69"/>
    <w:rsid w:val="00DF3034"/>
    <w:rsid w:val="00DF34EE"/>
    <w:rsid w:val="00DF4B0B"/>
    <w:rsid w:val="00DF512C"/>
    <w:rsid w:val="00DF5CB4"/>
    <w:rsid w:val="00DF6C62"/>
    <w:rsid w:val="00DF7642"/>
    <w:rsid w:val="00DF7E04"/>
    <w:rsid w:val="00E00279"/>
    <w:rsid w:val="00E008E1"/>
    <w:rsid w:val="00E02238"/>
    <w:rsid w:val="00E02901"/>
    <w:rsid w:val="00E0338E"/>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57687"/>
    <w:rsid w:val="00E61154"/>
    <w:rsid w:val="00E614C1"/>
    <w:rsid w:val="00E62527"/>
    <w:rsid w:val="00E62DA8"/>
    <w:rsid w:val="00E6317E"/>
    <w:rsid w:val="00E636AA"/>
    <w:rsid w:val="00E640AD"/>
    <w:rsid w:val="00E64DCF"/>
    <w:rsid w:val="00E652FA"/>
    <w:rsid w:val="00E66584"/>
    <w:rsid w:val="00E669F2"/>
    <w:rsid w:val="00E67DDA"/>
    <w:rsid w:val="00E67EEA"/>
    <w:rsid w:val="00E709DD"/>
    <w:rsid w:val="00E70D85"/>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4DF"/>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685"/>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D2FB9"/>
  <w15:docId w15:val="{689B1EA1-F2BD-4D17-93A5-5DAF072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B1311E"/>
    <w:pPr>
      <w:spacing w:before="100" w:beforeAutospacing="1" w:after="100" w:afterAutospacing="1"/>
    </w:pPr>
    <w:rPr>
      <w:lang w:val="en-US" w:eastAsia="en-US"/>
    </w:rPr>
  </w:style>
  <w:style w:type="character" w:styleId="Emphasis">
    <w:name w:val="Emphasis"/>
    <w:uiPriority w:val="20"/>
    <w:qFormat/>
    <w:rsid w:val="00B1311E"/>
    <w:rPr>
      <w:i/>
      <w:iCs/>
    </w:rPr>
  </w:style>
  <w:style w:type="paragraph" w:styleId="Header">
    <w:name w:val="header"/>
    <w:basedOn w:val="Normal"/>
    <w:link w:val="HeaderChar"/>
    <w:rsid w:val="00BB32FB"/>
    <w:pPr>
      <w:tabs>
        <w:tab w:val="center" w:pos="4680"/>
        <w:tab w:val="right" w:pos="9360"/>
      </w:tabs>
    </w:pPr>
  </w:style>
  <w:style w:type="character" w:customStyle="1" w:styleId="HeaderChar">
    <w:name w:val="Header Char"/>
    <w:link w:val="Header"/>
    <w:rsid w:val="00BB32FB"/>
    <w:rPr>
      <w:sz w:val="24"/>
      <w:szCs w:val="24"/>
    </w:rPr>
  </w:style>
  <w:style w:type="paragraph" w:styleId="Footer">
    <w:name w:val="footer"/>
    <w:basedOn w:val="Normal"/>
    <w:link w:val="FooterChar"/>
    <w:uiPriority w:val="99"/>
    <w:rsid w:val="00BB32FB"/>
    <w:pPr>
      <w:tabs>
        <w:tab w:val="center" w:pos="4680"/>
        <w:tab w:val="right" w:pos="9360"/>
      </w:tabs>
    </w:pPr>
  </w:style>
  <w:style w:type="character" w:customStyle="1" w:styleId="FooterChar">
    <w:name w:val="Footer Char"/>
    <w:link w:val="Footer"/>
    <w:uiPriority w:val="99"/>
    <w:rsid w:val="00BB32FB"/>
    <w:rPr>
      <w:sz w:val="24"/>
      <w:szCs w:val="24"/>
    </w:rPr>
  </w:style>
  <w:style w:type="character" w:styleId="FollowedHyperlink">
    <w:name w:val="FollowedHyperlink"/>
    <w:rsid w:val="009C6C03"/>
    <w:rPr>
      <w:color w:val="800080"/>
      <w:u w:val="single"/>
    </w:rPr>
  </w:style>
  <w:style w:type="paragraph" w:styleId="BalloonText">
    <w:name w:val="Balloon Text"/>
    <w:basedOn w:val="Normal"/>
    <w:link w:val="BalloonTextChar"/>
    <w:semiHidden/>
    <w:unhideWhenUsed/>
    <w:rsid w:val="00DC7ED1"/>
    <w:rPr>
      <w:rFonts w:ascii="Segoe UI" w:hAnsi="Segoe UI" w:cs="Segoe UI"/>
      <w:sz w:val="18"/>
      <w:szCs w:val="18"/>
    </w:rPr>
  </w:style>
  <w:style w:type="character" w:customStyle="1" w:styleId="BalloonTextChar">
    <w:name w:val="Balloon Text Char"/>
    <w:basedOn w:val="DefaultParagraphFont"/>
    <w:link w:val="BalloonText"/>
    <w:semiHidden/>
    <w:rsid w:val="00DC7ED1"/>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5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3645</CharactersWithSpaces>
  <SharedDoc>false</SharedDoc>
  <HLinks>
    <vt:vector size="18" baseType="variant">
      <vt:variant>
        <vt:i4>1245262</vt:i4>
      </vt:variant>
      <vt:variant>
        <vt:i4>6</vt:i4>
      </vt:variant>
      <vt:variant>
        <vt:i4>0</vt:i4>
      </vt:variant>
      <vt:variant>
        <vt:i4>5</vt:i4>
      </vt:variant>
      <vt:variant>
        <vt:lpwstr>http://docushare.ncdsb.com/dsweb/Get/Document-1409684/301.01 - Admission of Elementary and Secondary Students Policy.pdf</vt:lpwstr>
      </vt:variant>
      <vt:variant>
        <vt:lpwstr/>
      </vt:variant>
      <vt:variant>
        <vt:i4>3211391</vt:i4>
      </vt:variant>
      <vt:variant>
        <vt:i4>3</vt:i4>
      </vt:variant>
      <vt:variant>
        <vt:i4>0</vt:i4>
      </vt:variant>
      <vt:variant>
        <vt:i4>5</vt:i4>
      </vt:variant>
      <vt:variant>
        <vt:lpwstr>http://docushare.ncdsb.com/dsweb/Get/Document-1409775/701.2 - Pupil Accommodation Review Policy.pdf</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2020-05-19T15:39:00Z</cp:lastPrinted>
  <dcterms:created xsi:type="dcterms:W3CDTF">2020-05-19T15:39:00Z</dcterms:created>
  <dcterms:modified xsi:type="dcterms:W3CDTF">2020-05-19T15:39:00Z</dcterms:modified>
</cp:coreProperties>
</file>